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38BC9" w14:textId="77777777" w:rsidR="00D5266A" w:rsidRPr="00934108" w:rsidRDefault="00D5266A" w:rsidP="00D5266A">
      <w:pPr>
        <w:rPr>
          <w:sz w:val="20"/>
          <w:szCs w:val="20"/>
        </w:rPr>
      </w:pPr>
    </w:p>
    <w:p w14:paraId="149E44F9" w14:textId="77777777" w:rsidR="00934108" w:rsidRPr="00934108" w:rsidRDefault="00934108" w:rsidP="00934108">
      <w:pPr>
        <w:pStyle w:val="Default"/>
        <w:rPr>
          <w:rFonts w:asciiTheme="minorHAnsi" w:hAnsiTheme="minorHAnsi"/>
          <w:sz w:val="20"/>
          <w:szCs w:val="20"/>
        </w:rPr>
      </w:pPr>
    </w:p>
    <w:p w14:paraId="16C8CF63" w14:textId="77777777" w:rsidR="00934108" w:rsidRPr="00934108" w:rsidRDefault="00934108" w:rsidP="00934108">
      <w:pPr>
        <w:pStyle w:val="Default"/>
        <w:rPr>
          <w:rFonts w:asciiTheme="minorHAnsi" w:hAnsiTheme="minorHAnsi"/>
          <w:sz w:val="20"/>
          <w:szCs w:val="20"/>
        </w:rPr>
      </w:pPr>
      <w:r w:rsidRPr="00934108">
        <w:rPr>
          <w:rFonts w:asciiTheme="minorHAnsi" w:hAnsiTheme="minorHAnsi"/>
          <w:sz w:val="20"/>
          <w:szCs w:val="20"/>
        </w:rPr>
        <w:t xml:space="preserve"> </w:t>
      </w:r>
      <w:r w:rsidRPr="00934108">
        <w:rPr>
          <w:rFonts w:asciiTheme="minorHAnsi" w:hAnsiTheme="minorHAnsi"/>
          <w:b/>
          <w:bCs/>
          <w:sz w:val="20"/>
          <w:szCs w:val="20"/>
        </w:rPr>
        <w:t xml:space="preserve">Opinia członka Zespołu Lokalnej Współpracy do projektu Planu Urządzenia Lasu dla Nadleśnictwa Chojnów na lata 2028-2037 </w:t>
      </w:r>
    </w:p>
    <w:p w14:paraId="0E42AC0E" w14:textId="30C8D505" w:rsidR="00D5266A" w:rsidRPr="00934108" w:rsidRDefault="00934108" w:rsidP="00934108">
      <w:pPr>
        <w:rPr>
          <w:sz w:val="20"/>
          <w:szCs w:val="20"/>
        </w:rPr>
      </w:pPr>
      <w:r w:rsidRPr="00934108">
        <w:rPr>
          <w:b/>
          <w:bCs/>
          <w:sz w:val="20"/>
          <w:szCs w:val="20"/>
        </w:rPr>
        <w:t>Imię i Nazwisko Krzysztof Flis Stowarzyszenie Leśników i Właścicieli Lasów</w:t>
      </w:r>
    </w:p>
    <w:tbl>
      <w:tblPr>
        <w:tblW w:w="15092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2694"/>
        <w:gridCol w:w="9455"/>
      </w:tblGrid>
      <w:tr w:rsidR="00D5266A" w:rsidRPr="00934108" w14:paraId="2B73FDF9" w14:textId="77777777" w:rsidTr="0065338C">
        <w:trPr>
          <w:trHeight w:val="586"/>
        </w:trPr>
        <w:tc>
          <w:tcPr>
            <w:tcW w:w="675" w:type="dxa"/>
          </w:tcPr>
          <w:p w14:paraId="2ECF57EC" w14:textId="77777777" w:rsidR="00D5266A" w:rsidRPr="00934108" w:rsidRDefault="00D5266A" w:rsidP="00D5266A">
            <w:pPr>
              <w:spacing w:after="0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 </w:t>
            </w:r>
            <w:r w:rsidRPr="00934108">
              <w:rPr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2268" w:type="dxa"/>
          </w:tcPr>
          <w:p w14:paraId="636CD378" w14:textId="77777777" w:rsidR="00D5266A" w:rsidRPr="00934108" w:rsidRDefault="00D5266A" w:rsidP="00D5266A">
            <w:pPr>
              <w:spacing w:after="0"/>
              <w:rPr>
                <w:sz w:val="20"/>
                <w:szCs w:val="20"/>
              </w:rPr>
            </w:pPr>
            <w:r w:rsidRPr="00934108">
              <w:rPr>
                <w:b/>
                <w:bCs/>
                <w:sz w:val="20"/>
                <w:szCs w:val="20"/>
              </w:rPr>
              <w:t xml:space="preserve">Opiniowane zagadnienie </w:t>
            </w:r>
          </w:p>
        </w:tc>
        <w:tc>
          <w:tcPr>
            <w:tcW w:w="2694" w:type="dxa"/>
          </w:tcPr>
          <w:p w14:paraId="60F9A185" w14:textId="77920564" w:rsidR="00D5266A" w:rsidRPr="00934108" w:rsidRDefault="00D5266A" w:rsidP="00D5266A">
            <w:pPr>
              <w:spacing w:after="0"/>
              <w:jc w:val="center"/>
              <w:rPr>
                <w:sz w:val="20"/>
                <w:szCs w:val="20"/>
              </w:rPr>
            </w:pPr>
            <w:r w:rsidRPr="00934108">
              <w:rPr>
                <w:b/>
                <w:bCs/>
                <w:sz w:val="20"/>
                <w:szCs w:val="20"/>
              </w:rPr>
              <w:t>Zgłaszam uwagi do przedstawionych</w:t>
            </w:r>
          </w:p>
          <w:p w14:paraId="63B65FFA" w14:textId="37E5B99A" w:rsidR="00D5266A" w:rsidRPr="00934108" w:rsidRDefault="00D5266A" w:rsidP="00D5266A">
            <w:pPr>
              <w:spacing w:after="0"/>
              <w:jc w:val="center"/>
              <w:rPr>
                <w:sz w:val="20"/>
                <w:szCs w:val="20"/>
              </w:rPr>
            </w:pPr>
            <w:r w:rsidRPr="00934108">
              <w:rPr>
                <w:b/>
                <w:bCs/>
                <w:sz w:val="20"/>
                <w:szCs w:val="20"/>
              </w:rPr>
              <w:t>materiałów</w:t>
            </w:r>
          </w:p>
          <w:p w14:paraId="668CF2E7" w14:textId="030E0E8F" w:rsidR="00D5266A" w:rsidRPr="00934108" w:rsidRDefault="00D5266A" w:rsidP="00D5266A">
            <w:pPr>
              <w:jc w:val="center"/>
              <w:rPr>
                <w:sz w:val="20"/>
                <w:szCs w:val="20"/>
              </w:rPr>
            </w:pPr>
            <w:r w:rsidRPr="00934108">
              <w:rPr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9455" w:type="dxa"/>
          </w:tcPr>
          <w:p w14:paraId="484F7623" w14:textId="4D512D9C" w:rsidR="00D5266A" w:rsidRPr="00934108" w:rsidRDefault="00D5266A" w:rsidP="00D5266A">
            <w:pPr>
              <w:spacing w:before="240" w:after="0"/>
              <w:jc w:val="center"/>
              <w:rPr>
                <w:sz w:val="20"/>
                <w:szCs w:val="20"/>
              </w:rPr>
            </w:pPr>
            <w:r w:rsidRPr="00934108">
              <w:rPr>
                <w:b/>
                <w:bCs/>
                <w:sz w:val="20"/>
                <w:szCs w:val="20"/>
              </w:rPr>
              <w:t>Opinia/Uwaga/Propozycja i jej ewentualne uzasadnienie</w:t>
            </w:r>
          </w:p>
        </w:tc>
      </w:tr>
      <w:tr w:rsidR="00D5266A" w:rsidRPr="00934108" w14:paraId="698F152A" w14:textId="77777777" w:rsidTr="0065338C">
        <w:trPr>
          <w:trHeight w:val="1208"/>
        </w:trPr>
        <w:tc>
          <w:tcPr>
            <w:tcW w:w="675" w:type="dxa"/>
          </w:tcPr>
          <w:p w14:paraId="1BE30A75" w14:textId="77777777" w:rsidR="00D5266A" w:rsidRPr="00934108" w:rsidRDefault="00D5266A" w:rsidP="00D5266A">
            <w:pPr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2268" w:type="dxa"/>
          </w:tcPr>
          <w:p w14:paraId="7014EB8A" w14:textId="3830E1DF" w:rsidR="00D5266A" w:rsidRPr="00934108" w:rsidRDefault="00D5266A" w:rsidP="00D5266A">
            <w:pPr>
              <w:spacing w:after="0"/>
              <w:jc w:val="center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>Założenia do Planu Urządzenia Lasu</w:t>
            </w:r>
          </w:p>
        </w:tc>
        <w:tc>
          <w:tcPr>
            <w:tcW w:w="2694" w:type="dxa"/>
          </w:tcPr>
          <w:p w14:paraId="6D9D0072" w14:textId="77777777" w:rsidR="00D5266A" w:rsidRPr="00934108" w:rsidRDefault="00D5266A" w:rsidP="00D5266A">
            <w:pPr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9455" w:type="dxa"/>
          </w:tcPr>
          <w:p w14:paraId="7681014B" w14:textId="77777777" w:rsidR="00934108" w:rsidRPr="00934108" w:rsidRDefault="00934108" w:rsidP="00934108">
            <w:pPr>
              <w:jc w:val="both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>Wskazany w prezentacjach wysoki średni wiek drzewostanów (77 lat), przekraczający średnią krajową, w połączeniu z udziałem licznych drzewostanów przeszłorębnych, koreluje z obserwowanymi procesami ich zamierania.</w:t>
            </w:r>
          </w:p>
          <w:p w14:paraId="4E1B9D85" w14:textId="77777777" w:rsidR="00934108" w:rsidRPr="00934108" w:rsidRDefault="00934108" w:rsidP="00934108">
            <w:pPr>
              <w:jc w:val="both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>W tym kontekście aktywna, zrównoważona gospodarka leśna, obejmująca stopniowe odnawianie drzewostanów jest kluczowym narzędziem przeciwdziałania degradacji. Obniżenie średniego wieku drzewostanów poprzez racjonalne użytkowanie rębne i odnowienia sprzyja zwiększeniu różnorodności strukturalnej, poprawie odporności biologicznej oraz utrzymaniu ciągłości funkcji ekosystemowych i społecznych</w:t>
            </w:r>
          </w:p>
          <w:p w14:paraId="1476DA26" w14:textId="77777777" w:rsidR="00934108" w:rsidRPr="00934108" w:rsidRDefault="00934108" w:rsidP="00934108">
            <w:pPr>
              <w:jc w:val="both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>Należy jednocześnie podkreślić, że podnoszenie wieku rębności w obecnych warunkach siedliskowych i klimatycznych może przynieść efekt odwrotny do zamierzonego. Wydłużanie okresu użytkowania drzewostanów ponad ich biologiczne optimum zwiększa ryzyko ich rozpadu, nasilenia procesów zamierania oraz utraty zdolności regeneracyjnych.</w:t>
            </w:r>
          </w:p>
          <w:p w14:paraId="62DA3E26" w14:textId="2E9BADAF" w:rsidR="00D5266A" w:rsidRPr="00934108" w:rsidRDefault="00934108" w:rsidP="00934108">
            <w:pPr>
              <w:jc w:val="both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>W świetle powyższego, dążenie do obniżenia średniego wieku drzewostanów w Nadleśnictwie Chojnów należy traktować jako działanie proekologiczne, ukierunkowane na zwiększenie trwałości, odporności i zdolności adaptacyjnych lasów.</w:t>
            </w:r>
            <w:r w:rsidR="00D5266A" w:rsidRPr="00934108">
              <w:rPr>
                <w:sz w:val="20"/>
                <w:szCs w:val="20"/>
              </w:rPr>
              <w:t xml:space="preserve"> </w:t>
            </w:r>
          </w:p>
        </w:tc>
      </w:tr>
      <w:tr w:rsidR="00D5266A" w:rsidRPr="00934108" w14:paraId="33CB9A88" w14:textId="77777777" w:rsidTr="0065338C">
        <w:trPr>
          <w:trHeight w:val="1854"/>
        </w:trPr>
        <w:tc>
          <w:tcPr>
            <w:tcW w:w="675" w:type="dxa"/>
          </w:tcPr>
          <w:p w14:paraId="312BD289" w14:textId="77777777" w:rsidR="00D5266A" w:rsidRPr="00934108" w:rsidRDefault="00D5266A" w:rsidP="00D5266A">
            <w:pPr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2268" w:type="dxa"/>
          </w:tcPr>
          <w:p w14:paraId="7938A948" w14:textId="4655F9FC" w:rsidR="00D5266A" w:rsidRPr="00934108" w:rsidRDefault="00D5266A" w:rsidP="00D5266A">
            <w:pPr>
              <w:spacing w:after="0"/>
              <w:jc w:val="center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>Lasy o szczególnym znaczeniu dla lokalnej społeczności</w:t>
            </w:r>
          </w:p>
        </w:tc>
        <w:tc>
          <w:tcPr>
            <w:tcW w:w="2694" w:type="dxa"/>
          </w:tcPr>
          <w:p w14:paraId="0DC3355B" w14:textId="77777777" w:rsidR="00D5266A" w:rsidRPr="00934108" w:rsidRDefault="00D5266A" w:rsidP="00D5266A">
            <w:pPr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9455" w:type="dxa"/>
          </w:tcPr>
          <w:p w14:paraId="0E1EA454" w14:textId="77777777" w:rsidR="00934108" w:rsidRPr="00934108" w:rsidRDefault="00934108" w:rsidP="00934108">
            <w:pPr>
              <w:jc w:val="both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>Warto podkreślić, że koncepcja tzw. lasów społecznych nie powinna oznaczać wyłączenia ich z użytkowania gospodarczego. Zgodnie z zasadami zrównoważonego rozwoju, lasy pełnią jednocześnie funkcje przyrodnicze, społeczne i gospodarcze, a ich trwałość opiera się na zachowaniu równowagi między tymi trzema filarami. Lasy społeczne – szczególnie położone w sąsiedztwie dużych aglomeracji – powinny być zarządzane w sposób aktywny, uwzględniający zarówno potrzeby rekreacyjne i ochronne, jak i racjonalne wykorzystanie zasobów drzewnych.</w:t>
            </w:r>
          </w:p>
          <w:p w14:paraId="66F08282" w14:textId="4892E615" w:rsidR="00D5266A" w:rsidRPr="00934108" w:rsidRDefault="00934108" w:rsidP="00934108">
            <w:pPr>
              <w:jc w:val="both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lastRenderedPageBreak/>
              <w:t>Stawianie znaku równości pomiędzy lasami społecznymi a obszarami, w których gospodarka leśna miałaby zostać całkowicie wyłączona, prowadzi do uproszczenia tej idei i pozostaje w sprzeczności z jej podstawowymi założeniami. Takie podejście ignoruje fakt, że odpowiednio prowadzona gospodarka leśna może wspierać trwałość i odporność ekosystemów, a jednocześnie zapewniać lokalnym społecznościom dostęp do odnawialnych surowców oraz utrzymanie funkcji społecznych lasu. W praktyce oznacza to, że lasy społeczne powinny być przykładem dobrze prowadzonej, wielofunkcyjnej gospodarki leśnej, a nie obszarami całkowicie wyłączonymi z użytkowania.</w:t>
            </w:r>
          </w:p>
        </w:tc>
      </w:tr>
      <w:tr w:rsidR="00D5266A" w:rsidRPr="00934108" w14:paraId="2C54111C" w14:textId="77777777" w:rsidTr="0065338C">
        <w:trPr>
          <w:trHeight w:val="1854"/>
        </w:trPr>
        <w:tc>
          <w:tcPr>
            <w:tcW w:w="675" w:type="dxa"/>
          </w:tcPr>
          <w:p w14:paraId="0E953286" w14:textId="3E2DB3DD" w:rsidR="00D5266A" w:rsidRPr="00934108" w:rsidRDefault="00D5266A" w:rsidP="00D5266A">
            <w:pPr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2268" w:type="dxa"/>
          </w:tcPr>
          <w:p w14:paraId="0CBFF036" w14:textId="7A5A0291" w:rsidR="00D5266A" w:rsidRPr="00934108" w:rsidRDefault="00D5266A" w:rsidP="00D5266A">
            <w:pPr>
              <w:spacing w:after="0"/>
              <w:jc w:val="center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Potrzeby w zakresie zagospodarowania turystycznego lasów </w:t>
            </w:r>
          </w:p>
        </w:tc>
        <w:tc>
          <w:tcPr>
            <w:tcW w:w="2694" w:type="dxa"/>
          </w:tcPr>
          <w:p w14:paraId="3A6EFD91" w14:textId="6A217A58" w:rsidR="00D5266A" w:rsidRPr="00934108" w:rsidRDefault="00D5266A" w:rsidP="00D5266A">
            <w:pPr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9455" w:type="dxa"/>
          </w:tcPr>
          <w:p w14:paraId="348E49F3" w14:textId="77777777" w:rsidR="00934108" w:rsidRPr="00934108" w:rsidRDefault="00934108" w:rsidP="0093410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34108">
              <w:rPr>
                <w:rFonts w:asciiTheme="minorHAnsi" w:hAnsiTheme="minorHAnsi"/>
                <w:sz w:val="20"/>
                <w:szCs w:val="20"/>
              </w:rPr>
              <w:t xml:space="preserve">Aby ograniczyć presję turystyczną na najbardziej wrażliwe fragmenty lasu, a jednocześnie utrzymać jego funkcje społeczne, warto wdrożyć rozwiązania ukierunkowane na świadome „kanalizowanie” ruchu pieszego i rowerowego. Sprawdzone w praktyce podejścia obejmują: </w:t>
            </w:r>
          </w:p>
          <w:p w14:paraId="51B7C0F3" w14:textId="77777777" w:rsidR="00934108" w:rsidRPr="00934108" w:rsidRDefault="00934108" w:rsidP="0093410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/>
                <w:sz w:val="20"/>
                <w:szCs w:val="20"/>
              </w:rPr>
            </w:pPr>
            <w:r w:rsidRPr="00934108">
              <w:rPr>
                <w:rFonts w:asciiTheme="minorHAnsi" w:hAnsiTheme="minorHAnsi"/>
                <w:sz w:val="20"/>
                <w:szCs w:val="20"/>
              </w:rPr>
              <w:t xml:space="preserve">Wyznaczenie czytelnej sieci szlaków i ich hierarchizacja </w:t>
            </w:r>
          </w:p>
          <w:p w14:paraId="117203AC" w14:textId="77777777" w:rsidR="00934108" w:rsidRPr="00934108" w:rsidRDefault="00934108" w:rsidP="0093410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/>
                <w:sz w:val="20"/>
                <w:szCs w:val="20"/>
              </w:rPr>
            </w:pPr>
            <w:r w:rsidRPr="00934108">
              <w:rPr>
                <w:rFonts w:asciiTheme="minorHAnsi" w:hAnsiTheme="minorHAnsi"/>
                <w:sz w:val="20"/>
                <w:szCs w:val="20"/>
              </w:rPr>
              <w:t xml:space="preserve">Węzły wejściowe i miejsca koncentracji ruchu </w:t>
            </w:r>
          </w:p>
          <w:p w14:paraId="5E038558" w14:textId="6D732E25" w:rsidR="00934108" w:rsidRPr="00934108" w:rsidRDefault="00934108" w:rsidP="0093410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/>
                <w:sz w:val="20"/>
                <w:szCs w:val="20"/>
              </w:rPr>
            </w:pPr>
            <w:r w:rsidRPr="00934108">
              <w:rPr>
                <w:rFonts w:asciiTheme="minorHAnsi" w:hAnsiTheme="minorHAnsi"/>
                <w:sz w:val="20"/>
                <w:szCs w:val="20"/>
              </w:rPr>
              <w:t>Edukacja użytkowników również w zakresie pozyskiwania surowca drzewnego, produktów</w:t>
            </w:r>
            <w:r w:rsidRPr="0093410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934108">
              <w:rPr>
                <w:rFonts w:asciiTheme="minorHAnsi" w:hAnsiTheme="minorHAnsi"/>
                <w:sz w:val="20"/>
                <w:szCs w:val="20"/>
              </w:rPr>
              <w:t xml:space="preserve">drzewnych i gospodarki łowieckiej. </w:t>
            </w:r>
          </w:p>
          <w:p w14:paraId="4F02751F" w14:textId="3967601F" w:rsidR="00D5266A" w:rsidRPr="00934108" w:rsidRDefault="00D5266A" w:rsidP="00D5266A">
            <w:pPr>
              <w:rPr>
                <w:sz w:val="20"/>
                <w:szCs w:val="20"/>
              </w:rPr>
            </w:pPr>
          </w:p>
        </w:tc>
      </w:tr>
      <w:tr w:rsidR="00152E6A" w:rsidRPr="00934108" w14:paraId="4F48DB62" w14:textId="77777777" w:rsidTr="0065338C">
        <w:trPr>
          <w:trHeight w:val="1854"/>
        </w:trPr>
        <w:tc>
          <w:tcPr>
            <w:tcW w:w="675" w:type="dxa"/>
          </w:tcPr>
          <w:p w14:paraId="758C78D6" w14:textId="628350F1" w:rsidR="00152E6A" w:rsidRPr="00934108" w:rsidRDefault="00152E6A" w:rsidP="00152E6A">
            <w:pPr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2268" w:type="dxa"/>
          </w:tcPr>
          <w:p w14:paraId="29048DEC" w14:textId="411D1AEC" w:rsidR="00152E6A" w:rsidRPr="00934108" w:rsidRDefault="00152E6A" w:rsidP="00152E6A">
            <w:pPr>
              <w:spacing w:after="0"/>
              <w:jc w:val="center"/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Inne </w:t>
            </w:r>
          </w:p>
        </w:tc>
        <w:tc>
          <w:tcPr>
            <w:tcW w:w="2694" w:type="dxa"/>
          </w:tcPr>
          <w:p w14:paraId="2EC56B08" w14:textId="284EE1E2" w:rsidR="00152E6A" w:rsidRPr="00934108" w:rsidRDefault="00152E6A" w:rsidP="00152E6A">
            <w:pPr>
              <w:rPr>
                <w:sz w:val="20"/>
                <w:szCs w:val="20"/>
              </w:rPr>
            </w:pPr>
            <w:r w:rsidRPr="00934108"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9455" w:type="dxa"/>
          </w:tcPr>
          <w:p w14:paraId="1950AC36" w14:textId="77777777" w:rsidR="00934108" w:rsidRPr="00934108" w:rsidRDefault="00934108" w:rsidP="00934108">
            <w:pPr>
              <w:rPr>
                <w:rFonts w:cs="Times New Roman"/>
                <w:sz w:val="20"/>
                <w:szCs w:val="20"/>
              </w:rPr>
            </w:pPr>
            <w:r w:rsidRPr="00934108">
              <w:rPr>
                <w:rFonts w:cs="Times New Roman"/>
                <w:sz w:val="20"/>
                <w:szCs w:val="20"/>
              </w:rPr>
              <w:t>Na tle omawianych zagadnień należy wyraźnie podkreślić, że największym zagrożeniem dla trwałości i integralności kompleksów leśnych nie jest prowadzenie racjonalnej gospodarki leśnej, lecz trwałe przeznaczanie gruntów leśnych na cele nieleśne. Szczególnie istotna jest tu rosnąca presja inwestycyjna związana z rozwojem centrów logistycznych, infrastruktury transportowej oraz zabudowy mieszkaniowej w strefie oddziaływania dużych aglomeracji.</w:t>
            </w:r>
          </w:p>
          <w:p w14:paraId="66A7D2A4" w14:textId="46EB5AF3" w:rsidR="00152E6A" w:rsidRPr="00934108" w:rsidRDefault="00934108" w:rsidP="00934108">
            <w:pPr>
              <w:rPr>
                <w:sz w:val="20"/>
                <w:szCs w:val="20"/>
              </w:rPr>
            </w:pPr>
            <w:r w:rsidRPr="00934108">
              <w:rPr>
                <w:rFonts w:cs="Times New Roman"/>
                <w:sz w:val="20"/>
                <w:szCs w:val="20"/>
              </w:rPr>
              <w:t>Procesy te prowadzą do fragmentacji siedlisk, przerwania ciągłości ekosystemów oraz nieodwracalnej utraty powierzchni leśnych. Dodatkowo zmiany sposobu użytkowania gruntów często skutkują zaburzeniami stosunków wodnych, co w warunkach postępujących zmian klimatu może przyspieszać procesy zamierania drzewostanów. Zależy nam zatem aby każdy przypadek zmiany formy użytkowania gruntów leśnych był analizowany czy możliwa jest odpowiednia kompensacja.</w:t>
            </w:r>
          </w:p>
        </w:tc>
      </w:tr>
    </w:tbl>
    <w:p w14:paraId="69FFB875" w14:textId="77777777" w:rsidR="00D5266A" w:rsidRPr="00934108" w:rsidRDefault="00D5266A" w:rsidP="00D5266A">
      <w:pPr>
        <w:rPr>
          <w:sz w:val="20"/>
          <w:szCs w:val="20"/>
        </w:rPr>
      </w:pPr>
    </w:p>
    <w:sectPr w:rsidR="00D5266A" w:rsidRPr="00934108" w:rsidSect="00D526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1B174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8712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66A"/>
    <w:rsid w:val="00152E6A"/>
    <w:rsid w:val="003C3C60"/>
    <w:rsid w:val="003C5A5C"/>
    <w:rsid w:val="00405D94"/>
    <w:rsid w:val="00523DB7"/>
    <w:rsid w:val="0065338C"/>
    <w:rsid w:val="007210A1"/>
    <w:rsid w:val="008302DC"/>
    <w:rsid w:val="008E6967"/>
    <w:rsid w:val="00934108"/>
    <w:rsid w:val="00C952F4"/>
    <w:rsid w:val="00D5266A"/>
    <w:rsid w:val="00E2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DF388"/>
  <w15:chartTrackingRefBased/>
  <w15:docId w15:val="{881CAA62-3365-4668-A5C9-AB821D541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2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2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26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26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26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26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26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26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26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26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26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26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26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26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26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26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26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26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2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2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26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2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2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26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26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26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26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26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266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52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6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607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Serwinowski</dc:creator>
  <cp:keywords/>
  <dc:description/>
  <cp:lastModifiedBy>Jakub Serwinowski</cp:lastModifiedBy>
  <cp:revision>3</cp:revision>
  <dcterms:created xsi:type="dcterms:W3CDTF">2026-04-14T06:37:00Z</dcterms:created>
  <dcterms:modified xsi:type="dcterms:W3CDTF">2026-04-14T07:05:00Z</dcterms:modified>
</cp:coreProperties>
</file>